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08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val="zh-CN"/>
        </w:rPr>
        <w:t>广州中医药大学第一附属医院XXX</w:t>
      </w:r>
      <w:r>
        <w:rPr>
          <w:rFonts w:hint="eastAsia" w:ascii="黑体" w:hAnsi="黑体" w:eastAsia="黑体" w:cs="黑体"/>
          <w:b/>
          <w:sz w:val="32"/>
          <w:szCs w:val="32"/>
          <w:highlight w:val="none"/>
          <w:lang w:val="en-US" w:eastAsia="zh-CN"/>
        </w:rPr>
        <w:t>项目设计服务合同</w:t>
      </w:r>
    </w:p>
    <w:p w14:paraId="221C1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highlight w:val="none"/>
          <w:lang w:val="en-US" w:eastAsia="zh-CN"/>
        </w:rPr>
        <w:t>（适用于投资额100万元以下项目）</w:t>
      </w:r>
    </w:p>
    <w:p w14:paraId="14229DD5">
      <w:pPr>
        <w:spacing w:line="360" w:lineRule="auto"/>
        <w:ind w:firstLine="420" w:firstLineChars="200"/>
        <w:rPr>
          <w:rFonts w:ascii="宋体" w:hAnsi="宋体" w:eastAsia="宋体"/>
          <w:highlight w:val="none"/>
        </w:rPr>
      </w:pPr>
    </w:p>
    <w:p w14:paraId="76F4D7B8">
      <w:pPr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甲方：广州中医药大学第一附属医院</w:t>
      </w:r>
      <w:bookmarkStart w:id="0" w:name="_GoBack"/>
      <w:bookmarkEnd w:id="0"/>
    </w:p>
    <w:p w14:paraId="654AE9D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法定代表人：李俊</w:t>
      </w:r>
    </w:p>
    <w:p w14:paraId="2E161EF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联系人：</w:t>
      </w:r>
    </w:p>
    <w:p w14:paraId="62BC72EF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020-36591849</w:t>
      </w:r>
    </w:p>
    <w:p w14:paraId="767AD82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地址：广州市白云区机场路16号</w:t>
      </w:r>
    </w:p>
    <w:p w14:paraId="592CDF0F">
      <w:pPr>
        <w:rPr>
          <w:rFonts w:ascii="仿宋_GB2312" w:hAnsi="仿宋_GB2312" w:eastAsia="仿宋_GB2312" w:cs="仿宋_GB2312"/>
          <w:sz w:val="28"/>
          <w:szCs w:val="28"/>
        </w:rPr>
      </w:pPr>
    </w:p>
    <w:p w14:paraId="2A04B79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乙方：</w:t>
      </w:r>
    </w:p>
    <w:p w14:paraId="1202E3C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法定代表人：</w:t>
      </w:r>
    </w:p>
    <w:p w14:paraId="492A3A2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联系人：</w:t>
      </w:r>
    </w:p>
    <w:p w14:paraId="387B690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</w:p>
    <w:p w14:paraId="6A316BB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地址：</w:t>
      </w:r>
    </w:p>
    <w:p w14:paraId="3CFFC767">
      <w:pPr>
        <w:rPr>
          <w:rFonts w:ascii="仿宋_GB2312" w:hAnsi="仿宋_GB2312" w:eastAsia="仿宋_GB2312" w:cs="仿宋_GB2312"/>
          <w:sz w:val="28"/>
          <w:szCs w:val="28"/>
        </w:rPr>
      </w:pPr>
    </w:p>
    <w:p w14:paraId="2D3435E6">
      <w:pPr>
        <w:ind w:firstLine="42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根据《中华人民共和国民法典（第三编 合同）》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、《中华人民共和国建筑法》、《建设工程勘察设计管理条例》</w:t>
      </w:r>
      <w:r>
        <w:rPr>
          <w:rFonts w:hint="eastAsia" w:ascii="仿宋_GB2312" w:hAnsi="仿宋_GB2312" w:eastAsia="仿宋_GB2312" w:cs="仿宋_GB2312"/>
          <w:sz w:val="28"/>
          <w:szCs w:val="28"/>
        </w:rPr>
        <w:t>及其他有关法律法规，遵循平等、自愿、公平和诚实信用的原则，甲乙双方就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广州中医药大学第一附属医院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项目设计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u w:val="single"/>
        </w:rPr>
        <w:t>（如有公开招标补充采购项目编号）</w:t>
      </w:r>
      <w:r>
        <w:rPr>
          <w:rFonts w:hint="eastAsia" w:ascii="仿宋_GB2312" w:hAnsi="仿宋_GB2312" w:eastAsia="仿宋_GB2312" w:cs="仿宋_GB2312"/>
          <w:sz w:val="28"/>
          <w:szCs w:val="28"/>
        </w:rPr>
        <w:t>协商一致，订立本合同。</w:t>
      </w:r>
    </w:p>
    <w:p w14:paraId="47D06F73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一、合同标的</w:t>
      </w:r>
    </w:p>
    <w:p w14:paraId="23123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 xml:space="preserve"> 项目名称：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u w:val="single"/>
        </w:rPr>
        <w:t xml:space="preserve">              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 xml:space="preserve"> </w:t>
      </w:r>
    </w:p>
    <w:p w14:paraId="3A81D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.2 项目地点：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u w:val="single"/>
        </w:rPr>
        <w:t xml:space="preserve">              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 xml:space="preserve">                                                                        </w:t>
      </w:r>
    </w:p>
    <w:p w14:paraId="2EBA7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.3项目规模：涉及改造面积约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平方米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。</w:t>
      </w:r>
    </w:p>
    <w:p w14:paraId="7E2C2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.4 设计范围及附注说明：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  <w:lang w:val="en-US" w:eastAsia="zh-CN"/>
        </w:rPr>
        <w:t>仅供参考，可根据实际设计范围调整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  <w:lang w:val="en-US" w:eastAsia="zh-CN"/>
        </w:rPr>
        <w:t>不含设计概算及施工图预算编制。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</w:rPr>
        <w:t>主要涉及范围ICU（EICU）病床8张、留观区病床14张，并局部调整急诊科相关功能布局，包括但不限于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  <w:lang w:val="en-US"/>
        </w:rPr>
        <w:t>方案初步设计、效果图设计、土建、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</w:rPr>
        <w:t>装饰、结构、强弱电、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  <w:lang w:val="en-US" w:eastAsia="zh-CN"/>
        </w:rPr>
        <w:t>智能化、</w:t>
      </w:r>
      <w:r>
        <w:rPr>
          <w:rFonts w:hint="eastAsia" w:ascii="仿宋_GB2312" w:hAnsi="仿宋_GB2312" w:eastAsia="仿宋_GB2312" w:cs="仿宋_GB2312"/>
          <w:color w:val="FF0000"/>
          <w:sz w:val="28"/>
          <w:szCs w:val="32"/>
          <w:highlight w:val="none"/>
          <w:u w:val="single"/>
        </w:rPr>
        <w:t>给排水、暖通、消防、医气等专业，以满足改造范围的使用需求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。</w:t>
      </w:r>
    </w:p>
    <w:p w14:paraId="7C7F3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 xml:space="preserve"> 设计标准：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该项目工程预算暂定为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u w:val="none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，乙方需遵循限额设计原则。若预估工程费用超出预算限额且甲方不予调整预算，乙方应负责进行设计优化，确保工程造价控制在预算范围内。</w:t>
      </w:r>
    </w:p>
    <w:p w14:paraId="26985DB3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二、合同总价</w:t>
      </w:r>
    </w:p>
    <w:p w14:paraId="1CD4D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总价为：人民币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</w:rPr>
        <w:t>元整（大写）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，即RMB¥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  <w:highlight w:val="none"/>
          <w:u w:val="single"/>
          <w:lang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元，该价格为包干价，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包括但不限于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派驻人员驻场服务、因项目产生的差旅费、现场办公杂费及必要的技术协调费用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。若设计过程中改造面积发生调整，按以下原则处理：调整幅度不超过原设计范围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0%时，设计费不予调整；调整幅度超过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32"/>
          <w:highlight w:val="none"/>
          <w:lang w:eastAsia="zh-CN"/>
        </w:rPr>
        <w:t>0%（含）时，双方应重新协商确定设计费。</w:t>
      </w:r>
    </w:p>
    <w:p w14:paraId="68CDF667">
      <w:pPr>
        <w:pStyle w:val="2"/>
        <w:spacing w:before="0" w:after="0" w:line="360" w:lineRule="auto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三、付款方式</w:t>
      </w:r>
    </w:p>
    <w:p w14:paraId="14F6C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319" w:rightChars="-15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合同签订后，乙方提交的全部设计文件经甲方确认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要求，且乙方提供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甲方要求的请款材料后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甲方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30个工作日内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向乙方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支付合同金额的80%，即人民币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元（大写：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）。</w:t>
      </w:r>
    </w:p>
    <w:p w14:paraId="0B67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319" w:rightChars="-15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工程竣工验收且乙方提供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甲方要求的请款材料后，甲方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30个工作日内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向乙方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支付合同金额的20% ，即人民币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元（大写：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）。</w:t>
      </w:r>
    </w:p>
    <w:p w14:paraId="54730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319" w:rightChars="-15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.3 甲方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支付每笔款项前，乙方应提供等额有效的增值税普通发票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若乙方未提供或提供的发票不符合要求，甲方有权顺延付款时间，但乙方不得因此延误设计工期。</w:t>
      </w:r>
    </w:p>
    <w:p w14:paraId="2BCFB0FC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四、服务要求</w:t>
      </w:r>
    </w:p>
    <w:p w14:paraId="2B2D60CC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4.1 乙方须在合同签订后组织现场勘察测量，详细了解甲方设计要求，并在收到完整土建资料及业主需求后15个日历天内提交方案设计图纸。经甲方确认后，乙方应在30个日历天内提交CAD电子版施工图1份，图纸审定后7个工作日内提供纸质版施工图纸4套。</w:t>
      </w:r>
    </w:p>
    <w:p w14:paraId="495AAD5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4.2 乙方应严格按国家现行建筑工程建设标准、设计规范和制图标准进行设计，确保设计成果符合国家及地方各项技术规程要求。设计文件中应包含各专业材料设备清单，详细注明性能参数、质量指标及规格要求，但不得指定生产厂商和供应商。</w:t>
      </w:r>
    </w:p>
    <w:p w14:paraId="1EB4D2DA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4.3 乙方应对设计文件的遗漏或错误及时修改补充，并根据工程实际情况出具设计变更文件。同时应按甲方要求参加设计审查会议，完善施工图纸，进行设计交底，处理施工过程中的设计问题，审核竣工图纸并参与过程验收及竣工验收。</w:t>
      </w:r>
    </w:p>
    <w:p w14:paraId="2408AF4F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4.4 乙方应认真听取甲方修改意见，完善设计方案，确保按照约定时间节点交付符合施工要求的最终图纸。所有交付图纸必须达到国家规定的出图标准和质量要求。</w:t>
      </w:r>
    </w:p>
    <w:p w14:paraId="652DF0A9">
      <w:pPr>
        <w:rPr>
          <w:rFonts w:ascii="仿宋_GB2312" w:hAnsi="仿宋_GB2312" w:eastAsia="仿宋_GB2312" w:cs="仿宋_GB2312"/>
          <w:b/>
          <w:bCs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服务评价</w:t>
      </w:r>
    </w:p>
    <w:p w14:paraId="4D7B7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5.1 评价方式与整改要求</w:t>
      </w:r>
    </w:p>
    <w:p w14:paraId="38973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5.1.1 每个项目竣工验收后15个工作日内，甲方应依据合同附件《设计服务评价标准》对乙方服务质量进行全面评价，评价采用百分制，具体评分细则详见合同附件。</w:t>
      </w:r>
    </w:p>
    <w:p w14:paraId="1B37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5.2 评价结果应用与整改措施</w:t>
      </w:r>
    </w:p>
    <w:p w14:paraId="73285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5.2.1 评价结果分级：</w:t>
      </w:r>
    </w:p>
    <w:p w14:paraId="0B206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（1）达标（评分≥70分）：甲方应按时全额支付项目尾款；</w:t>
      </w:r>
    </w:p>
    <w:p w14:paraId="63B81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2）不达标（评分&lt;70分）：乙方应在收到评价结果后10个工作日内完成整改，整改内容包括但不限于：补充完善设计文件、修正设计错误、补充设计依据、完善施工配合服务及其他对应整改事项等。整改完成后，乙方应重新提交评价申请。经复评仍不达标的，除按本合同第七条约定执行相应处罚外，甲方有权额外扣除合同金额的5%作为违约金。</w:t>
      </w:r>
    </w:p>
    <w:p w14:paraId="592D2BC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六、信息保密</w:t>
      </w:r>
    </w:p>
    <w:p w14:paraId="648C8AD5">
      <w:pPr>
        <w:ind w:firstLine="56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双方对本合同，与本合同相关的其它信息均有保密义务。未经另一方事先书面同意，任何一方不得将该信息的任何部分向任何第三方或社会公众披露。如最终用户或政府部门要求甲方或乙方提供保密信息，该方应将此要求及时通知另一方。</w:t>
      </w:r>
    </w:p>
    <w:p w14:paraId="3C48C4A3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七、违约与处罚</w:t>
      </w:r>
    </w:p>
    <w:p w14:paraId="3F876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7.1 在合同履行期间，甲方要求终止或解除合同，乙方未开始设计工作的，甲方无需支付任何费用；已开始设计工作的，甲乙双方根据乙方已完成的实际工作量协商确定支付金额。</w:t>
      </w:r>
    </w:p>
    <w:p w14:paraId="53072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7.2 乙方应按本合同第4.1条规定的期限提交设计文件，每逾期一天，应承担合同总金额的千分之二的逾期违约金。逾期超过30天以上时，需额外承担合同金额的30%的逾期违约金，且甲方有权解除合同。</w:t>
      </w:r>
    </w:p>
    <w:p w14:paraId="38895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7.3 乙方对设计资料及文件出现的遗漏或错误负责修改或补充，根据现场实际情况负责出具设计变更图纸或文件。若乙方未能按甲方要求出具相关设计变更文件、或在接到甲方通知后未能配合到场服务，甲方可视情况按1000元/次的标准在设计费中进行扣罚。</w:t>
      </w:r>
    </w:p>
    <w:p w14:paraId="7EBB8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7.4 由于乙方错误造成工程质量事故损失，乙方除负责采取补救措施外，还应根据损失的程度和乙方责任大小保留追溯乙方的权利。</w:t>
      </w:r>
    </w:p>
    <w:p w14:paraId="7D159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7.5 甲方应按本合同第三条规定的金额和时间向乙方支付设计费，每逾期支付一天，应承担应付未付金额千分之一的逾期违约金。逾期超过30天以上时，乙方有权暂停履行下阶段工作，并书面通知甲方。</w:t>
      </w:r>
    </w:p>
    <w:p w14:paraId="567D0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7.6 合同生效后，乙方要求终止或解除合同，乙方应按合同总金额的30%向甲方支付违约金。</w:t>
      </w:r>
    </w:p>
    <w:p w14:paraId="0D389D11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八、合同生效</w:t>
      </w:r>
    </w:p>
    <w:p w14:paraId="5E40D4C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本合同双方签字盖章即生效。</w:t>
      </w:r>
    </w:p>
    <w:p w14:paraId="2B564119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九、合同的变更和转让</w:t>
      </w:r>
    </w:p>
    <w:p w14:paraId="3ACE7606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合同有效期内, 任何一方不得擅自变更合同的权利和义务,除非双方的授权代表以书面的方式确认。如乙方将合同的部分或全部转让给其关联公司，必须经甲方同意,并要保证甲方利益不受损害。</w:t>
      </w:r>
    </w:p>
    <w:p w14:paraId="4BF20FE8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十、争议处理</w:t>
      </w:r>
    </w:p>
    <w:p w14:paraId="2ED212A5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双方在履约中如发生争议，应通过友好协商解决，协商不成，任何一方可向甲方所在地的人民法院提起诉讼。诉讼期间，双方应继续执行合同其余部分。</w:t>
      </w:r>
    </w:p>
    <w:p w14:paraId="0A927F64">
      <w:pPr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十一、其他　</w:t>
      </w:r>
    </w:p>
    <w:p w14:paraId="7B971228">
      <w:pPr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（一）本合同正本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伍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份，具有同等法律效力，甲方执叁份，乙方执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贰</w:t>
      </w:r>
      <w:r>
        <w:rPr>
          <w:rFonts w:hint="eastAsia" w:ascii="仿宋_GB2312" w:hAnsi="仿宋_GB2312" w:eastAsia="仿宋_GB2312" w:cs="仿宋_GB2312"/>
          <w:sz w:val="28"/>
          <w:szCs w:val="28"/>
        </w:rPr>
        <w:t>份。合同自双方签字盖章之日起即时生效。</w:t>
      </w:r>
    </w:p>
    <w:p w14:paraId="6DA0800A">
      <w:pPr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（二）本合同未尽事宜，由双方协商处理。</w:t>
      </w:r>
    </w:p>
    <w:p w14:paraId="00128075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 w14:paraId="12275D2C">
      <w:pPr>
        <w:jc w:val="center"/>
        <w:rPr>
          <w:rFonts w:hint="eastAsia" w:ascii="仿宋_GB2312" w:hAnsi="仿宋_GB2312" w:eastAsia="仿宋_GB2312" w:cs="仿宋_GB2312"/>
          <w:szCs w:val="21"/>
          <w:highlight w:val="none"/>
        </w:rPr>
      </w:pPr>
    </w:p>
    <w:p w14:paraId="77B7BA9F">
      <w:pPr>
        <w:jc w:val="center"/>
        <w:rPr>
          <w:rFonts w:hint="eastAsia" w:ascii="仿宋_GB2312" w:hAnsi="仿宋_GB2312" w:eastAsia="仿宋_GB2312" w:cs="仿宋_GB2312"/>
          <w:szCs w:val="21"/>
          <w:highlight w:val="none"/>
        </w:rPr>
      </w:pPr>
    </w:p>
    <w:tbl>
      <w:tblPr>
        <w:tblStyle w:val="8"/>
        <w:tblpPr w:leftFromText="180" w:rightFromText="180" w:vertAnchor="text" w:horzAnchor="page" w:tblpX="1416" w:tblpY="608"/>
        <w:tblOverlap w:val="never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2"/>
        <w:gridCol w:w="4785"/>
      </w:tblGrid>
      <w:tr w14:paraId="59F77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vAlign w:val="center"/>
          </w:tcPr>
          <w:p w14:paraId="0AAE85B9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甲方：广州中医药大学第一附属医院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vAlign w:val="center"/>
          </w:tcPr>
          <w:p w14:paraId="661035B9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乙方：</w:t>
            </w:r>
          </w:p>
        </w:tc>
      </w:tr>
      <w:tr w14:paraId="644AB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F76B5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开票地址：广州市机场路16号广州中医药大学第一附属医院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E34F4"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联系地址：</w:t>
            </w:r>
          </w:p>
        </w:tc>
      </w:tr>
      <w:tr w14:paraId="7FC33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89F401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开户银行名称：广发银行广州解放北路支行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C952C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开户银行名称：</w:t>
            </w:r>
          </w:p>
        </w:tc>
      </w:tr>
      <w:tr w14:paraId="4A25D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2817F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税号：12440000455860170T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70F5F4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税号：</w:t>
            </w:r>
          </w:p>
        </w:tc>
      </w:tr>
      <w:tr w14:paraId="32443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46479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银行账号：101009516010000041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43EB5F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银行账号：</w:t>
            </w:r>
          </w:p>
        </w:tc>
      </w:tr>
      <w:tr w14:paraId="74019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vAlign w:val="center"/>
          </w:tcPr>
          <w:p w14:paraId="64D861AC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法人代表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/授权代表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签名：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vAlign w:val="center"/>
          </w:tcPr>
          <w:p w14:paraId="12E7320E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法人代表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/授权代表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签名：</w:t>
            </w:r>
          </w:p>
        </w:tc>
      </w:tr>
      <w:tr w14:paraId="61423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99" w:type="pct"/>
            <w:tcBorders>
              <w:tl2br w:val="nil"/>
              <w:tr2bl w:val="nil"/>
            </w:tcBorders>
            <w:vAlign w:val="center"/>
          </w:tcPr>
          <w:p w14:paraId="24245865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签约日期：    年    月    日</w:t>
            </w:r>
          </w:p>
        </w:tc>
        <w:tc>
          <w:tcPr>
            <w:tcW w:w="2500" w:type="pct"/>
            <w:tcBorders>
              <w:tl2br w:val="nil"/>
              <w:tr2bl w:val="nil"/>
            </w:tcBorders>
            <w:vAlign w:val="center"/>
          </w:tcPr>
          <w:p w14:paraId="762273D2">
            <w:pPr>
              <w:jc w:val="both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签约日期：    年    月    日</w:t>
            </w:r>
          </w:p>
        </w:tc>
      </w:tr>
    </w:tbl>
    <w:p w14:paraId="51DC0847">
      <w:pPr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 w14:paraId="065F7CCD">
      <w:pPr>
        <w:rPr>
          <w:rFonts w:ascii="仿宋_GB2312" w:eastAsia="仿宋_GB2312"/>
        </w:rPr>
      </w:pPr>
    </w:p>
    <w:p w14:paraId="2AA3902C">
      <w:pPr>
        <w:widowControl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乙方保证以上信息真实、准确，若信息有误造成支付差错由乙方负责。</w:t>
      </w:r>
    </w:p>
    <w:p w14:paraId="7D9E4BCE">
      <w:pPr>
        <w:spacing w:line="360" w:lineRule="auto"/>
        <w:ind w:left="4200" w:hanging="4200" w:hangingChars="2000"/>
        <w:rPr>
          <w:rFonts w:hint="eastAsia" w:ascii="仿宋_GB2312" w:hAnsi="仿宋_GB2312" w:eastAsia="仿宋_GB2312" w:cs="仿宋_GB2312"/>
          <w:highlight w:val="none"/>
        </w:rPr>
      </w:pPr>
    </w:p>
    <w:p w14:paraId="4C6EB4AE">
      <w:pPr>
        <w:spacing w:line="360" w:lineRule="auto"/>
        <w:rPr>
          <w:rFonts w:hint="eastAsia" w:ascii="仿宋_GB2312" w:hAnsi="仿宋_GB2312" w:eastAsia="仿宋_GB2312" w:cs="仿宋_GB2312"/>
          <w:szCs w:val="21"/>
          <w:highlight w:val="none"/>
        </w:rPr>
      </w:pPr>
    </w:p>
    <w:p w14:paraId="29254067">
      <w:pPr>
        <w:rPr>
          <w:rFonts w:hint="eastAsia" w:ascii="新宋体" w:hAnsi="新宋体" w:eastAsia="新宋体" w:cs="Arial"/>
          <w:highlight w:val="none"/>
          <w:lang w:val="en-US" w:eastAsia="zh-CN"/>
        </w:rPr>
      </w:pPr>
      <w:r>
        <w:rPr>
          <w:rFonts w:hint="eastAsia" w:ascii="新宋体" w:hAnsi="新宋体" w:eastAsia="新宋体" w:cs="Arial"/>
          <w:highlight w:val="none"/>
          <w:lang w:val="en-US" w:eastAsia="zh-CN"/>
        </w:rPr>
        <w:br w:type="page"/>
      </w:r>
    </w:p>
    <w:p w14:paraId="1708A574">
      <w:pPr>
        <w:pStyle w:val="2"/>
        <w:spacing w:before="0" w:after="0"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附件：设计服务评价标准</w:t>
      </w:r>
    </w:p>
    <w:tbl>
      <w:tblPr>
        <w:tblStyle w:val="8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833"/>
        <w:gridCol w:w="1961"/>
        <w:gridCol w:w="1715"/>
        <w:gridCol w:w="1139"/>
        <w:gridCol w:w="1605"/>
      </w:tblGrid>
      <w:tr w14:paraId="1CB2D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Align w:val="center"/>
          </w:tcPr>
          <w:p w14:paraId="5A754C14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评价维度</w:t>
            </w:r>
          </w:p>
        </w:tc>
        <w:tc>
          <w:tcPr>
            <w:tcW w:w="1833" w:type="dxa"/>
            <w:vAlign w:val="center"/>
          </w:tcPr>
          <w:p w14:paraId="598DA34E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评分项目</w:t>
            </w:r>
          </w:p>
        </w:tc>
        <w:tc>
          <w:tcPr>
            <w:tcW w:w="1961" w:type="dxa"/>
            <w:vAlign w:val="center"/>
          </w:tcPr>
          <w:p w14:paraId="100C2D36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  <w:p w14:paraId="6DF08692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（满分100分）</w:t>
            </w:r>
          </w:p>
        </w:tc>
        <w:tc>
          <w:tcPr>
            <w:tcW w:w="1715" w:type="dxa"/>
            <w:vAlign w:val="center"/>
          </w:tcPr>
          <w:p w14:paraId="0034192D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扣分细则</w:t>
            </w:r>
          </w:p>
        </w:tc>
        <w:tc>
          <w:tcPr>
            <w:tcW w:w="1139" w:type="dxa"/>
            <w:vAlign w:val="center"/>
          </w:tcPr>
          <w:p w14:paraId="7F090AA7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权重</w:t>
            </w:r>
          </w:p>
        </w:tc>
        <w:tc>
          <w:tcPr>
            <w:tcW w:w="1605" w:type="dxa"/>
            <w:vAlign w:val="center"/>
          </w:tcPr>
          <w:p w14:paraId="5618FFD7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得分</w:t>
            </w:r>
          </w:p>
        </w:tc>
      </w:tr>
      <w:tr w14:paraId="2A07F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restart"/>
            <w:vAlign w:val="center"/>
          </w:tcPr>
          <w:p w14:paraId="4913F939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设计文件质量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（40分）</w:t>
            </w:r>
          </w:p>
        </w:tc>
        <w:tc>
          <w:tcPr>
            <w:tcW w:w="1833" w:type="dxa"/>
            <w:vAlign w:val="center"/>
          </w:tcPr>
          <w:p w14:paraId="4C6C004A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图纸完整性</w:t>
            </w:r>
          </w:p>
        </w:tc>
        <w:tc>
          <w:tcPr>
            <w:tcW w:w="1961" w:type="dxa"/>
            <w:vAlign w:val="center"/>
          </w:tcPr>
          <w:p w14:paraId="65DD0AD2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图纸齐全，无缺项漏项（10分）</w:t>
            </w:r>
          </w:p>
        </w:tc>
        <w:tc>
          <w:tcPr>
            <w:tcW w:w="1715" w:type="dxa"/>
            <w:vAlign w:val="center"/>
          </w:tcPr>
          <w:p w14:paraId="40130F32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每缺失一项关键图纸扣2分</w:t>
            </w:r>
          </w:p>
        </w:tc>
        <w:tc>
          <w:tcPr>
            <w:tcW w:w="1139" w:type="dxa"/>
            <w:vAlign w:val="center"/>
          </w:tcPr>
          <w:p w14:paraId="26C18C84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10%</w:t>
            </w:r>
          </w:p>
        </w:tc>
        <w:tc>
          <w:tcPr>
            <w:tcW w:w="1605" w:type="dxa"/>
            <w:vAlign w:val="center"/>
          </w:tcPr>
          <w:p w14:paraId="6FA9A23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C84E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continue"/>
            <w:vAlign w:val="center"/>
          </w:tcPr>
          <w:p w14:paraId="6AACFA51">
            <w:pPr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 w14:paraId="3C0F04B3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规范符合性</w:t>
            </w:r>
          </w:p>
        </w:tc>
        <w:tc>
          <w:tcPr>
            <w:tcW w:w="1961" w:type="dxa"/>
            <w:vAlign w:val="center"/>
          </w:tcPr>
          <w:p w14:paraId="3E1A0343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完全符合国家及行业规范（15分）</w:t>
            </w:r>
          </w:p>
        </w:tc>
        <w:tc>
          <w:tcPr>
            <w:tcW w:w="1715" w:type="dxa"/>
            <w:vAlign w:val="center"/>
          </w:tcPr>
          <w:p w14:paraId="4A0C31C2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每处不符合扣3分</w:t>
            </w:r>
          </w:p>
        </w:tc>
        <w:tc>
          <w:tcPr>
            <w:tcW w:w="1139" w:type="dxa"/>
            <w:vAlign w:val="center"/>
          </w:tcPr>
          <w:p w14:paraId="05CB9396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15%</w:t>
            </w:r>
          </w:p>
        </w:tc>
        <w:tc>
          <w:tcPr>
            <w:tcW w:w="1605" w:type="dxa"/>
            <w:vAlign w:val="center"/>
          </w:tcPr>
          <w:p w14:paraId="47F28CCF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C780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continue"/>
            <w:vAlign w:val="center"/>
          </w:tcPr>
          <w:p w14:paraId="0671A1D1">
            <w:pPr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 w14:paraId="06B79BAB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设计深度</w:t>
            </w:r>
          </w:p>
        </w:tc>
        <w:tc>
          <w:tcPr>
            <w:tcW w:w="1961" w:type="dxa"/>
            <w:vAlign w:val="center"/>
          </w:tcPr>
          <w:p w14:paraId="41455651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达到合同约定的设计深度要求（15分）</w:t>
            </w:r>
          </w:p>
        </w:tc>
        <w:tc>
          <w:tcPr>
            <w:tcW w:w="1715" w:type="dxa"/>
            <w:vAlign w:val="center"/>
          </w:tcPr>
          <w:p w14:paraId="4D29648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深度不足每处扣3分</w:t>
            </w:r>
          </w:p>
        </w:tc>
        <w:tc>
          <w:tcPr>
            <w:tcW w:w="1139" w:type="dxa"/>
            <w:vAlign w:val="center"/>
          </w:tcPr>
          <w:p w14:paraId="0094A3B9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15%</w:t>
            </w:r>
          </w:p>
        </w:tc>
        <w:tc>
          <w:tcPr>
            <w:tcW w:w="1605" w:type="dxa"/>
            <w:vAlign w:val="center"/>
          </w:tcPr>
          <w:p w14:paraId="06C96ED0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D802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restart"/>
            <w:vAlign w:val="center"/>
          </w:tcPr>
          <w:p w14:paraId="070E8931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服务响应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（25分）</w:t>
            </w:r>
          </w:p>
        </w:tc>
        <w:tc>
          <w:tcPr>
            <w:tcW w:w="1833" w:type="dxa"/>
            <w:vAlign w:val="center"/>
          </w:tcPr>
          <w:p w14:paraId="286E099A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成果提交及时性</w:t>
            </w:r>
          </w:p>
        </w:tc>
        <w:tc>
          <w:tcPr>
            <w:tcW w:w="1961" w:type="dxa"/>
            <w:vAlign w:val="center"/>
          </w:tcPr>
          <w:p w14:paraId="085A4BC0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各阶段成果按时提交（15分）</w:t>
            </w:r>
          </w:p>
        </w:tc>
        <w:tc>
          <w:tcPr>
            <w:tcW w:w="1715" w:type="dxa"/>
            <w:vAlign w:val="center"/>
          </w:tcPr>
          <w:p w14:paraId="3360F29D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每延迟一天扣2分</w:t>
            </w:r>
          </w:p>
        </w:tc>
        <w:tc>
          <w:tcPr>
            <w:tcW w:w="1139" w:type="dxa"/>
            <w:vAlign w:val="center"/>
          </w:tcPr>
          <w:p w14:paraId="2E8974AF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15%</w:t>
            </w:r>
          </w:p>
        </w:tc>
        <w:tc>
          <w:tcPr>
            <w:tcW w:w="1605" w:type="dxa"/>
            <w:vAlign w:val="center"/>
          </w:tcPr>
          <w:p w14:paraId="1B07134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566F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continue"/>
            <w:vAlign w:val="center"/>
          </w:tcPr>
          <w:p w14:paraId="2EA57B20">
            <w:pPr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 w14:paraId="78E46180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问题反馈速度</w:t>
            </w:r>
          </w:p>
        </w:tc>
        <w:tc>
          <w:tcPr>
            <w:tcW w:w="1961" w:type="dxa"/>
            <w:vAlign w:val="center"/>
          </w:tcPr>
          <w:p w14:paraId="7995A68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在24小时内响应问题（10分）</w:t>
            </w:r>
          </w:p>
        </w:tc>
        <w:tc>
          <w:tcPr>
            <w:tcW w:w="1715" w:type="dxa"/>
            <w:vAlign w:val="center"/>
          </w:tcPr>
          <w:p w14:paraId="2B51C87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每超时一次扣2分</w:t>
            </w:r>
          </w:p>
        </w:tc>
        <w:tc>
          <w:tcPr>
            <w:tcW w:w="1139" w:type="dxa"/>
            <w:vAlign w:val="center"/>
          </w:tcPr>
          <w:p w14:paraId="171047F5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10%</w:t>
            </w:r>
          </w:p>
        </w:tc>
        <w:tc>
          <w:tcPr>
            <w:tcW w:w="1605" w:type="dxa"/>
            <w:vAlign w:val="center"/>
          </w:tcPr>
          <w:p w14:paraId="6B9F31D4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0BEA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restart"/>
            <w:vAlign w:val="center"/>
          </w:tcPr>
          <w:p w14:paraId="79A672EE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现场配合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（20分）</w:t>
            </w:r>
          </w:p>
        </w:tc>
        <w:tc>
          <w:tcPr>
            <w:tcW w:w="1833" w:type="dxa"/>
            <w:vAlign w:val="center"/>
          </w:tcPr>
          <w:p w14:paraId="729E27ED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设计交底</w:t>
            </w:r>
          </w:p>
        </w:tc>
        <w:tc>
          <w:tcPr>
            <w:tcW w:w="1961" w:type="dxa"/>
            <w:vAlign w:val="center"/>
          </w:tcPr>
          <w:p w14:paraId="447CCD8F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交底完整清晰（10分）</w:t>
            </w:r>
          </w:p>
        </w:tc>
        <w:tc>
          <w:tcPr>
            <w:tcW w:w="1715" w:type="dxa"/>
            <w:vAlign w:val="center"/>
          </w:tcPr>
          <w:p w14:paraId="5FBA9577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交底不完整每次扣2分</w:t>
            </w:r>
          </w:p>
        </w:tc>
        <w:tc>
          <w:tcPr>
            <w:tcW w:w="1139" w:type="dxa"/>
            <w:vAlign w:val="center"/>
          </w:tcPr>
          <w:p w14:paraId="474412F4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10%</w:t>
            </w:r>
          </w:p>
        </w:tc>
        <w:tc>
          <w:tcPr>
            <w:tcW w:w="1605" w:type="dxa"/>
            <w:vAlign w:val="center"/>
          </w:tcPr>
          <w:p w14:paraId="5E9B4A2D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D032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continue"/>
            <w:vAlign w:val="center"/>
          </w:tcPr>
          <w:p w14:paraId="4B016C07">
            <w:pPr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 w14:paraId="33AA7B9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变更处理</w:t>
            </w:r>
          </w:p>
        </w:tc>
        <w:tc>
          <w:tcPr>
            <w:tcW w:w="1961" w:type="dxa"/>
            <w:vAlign w:val="center"/>
          </w:tcPr>
          <w:p w14:paraId="25252FD6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变更图纸3个工作日内完成</w:t>
            </w:r>
          </w:p>
          <w:p w14:paraId="3DBD79F9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（10分）</w:t>
            </w:r>
          </w:p>
        </w:tc>
        <w:tc>
          <w:tcPr>
            <w:tcW w:w="1715" w:type="dxa"/>
            <w:vAlign w:val="center"/>
          </w:tcPr>
          <w:p w14:paraId="47E62B2F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每延迟一天扣2分</w:t>
            </w:r>
          </w:p>
        </w:tc>
        <w:tc>
          <w:tcPr>
            <w:tcW w:w="1139" w:type="dxa"/>
            <w:vAlign w:val="center"/>
          </w:tcPr>
          <w:p w14:paraId="41A1892C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10%</w:t>
            </w:r>
          </w:p>
        </w:tc>
        <w:tc>
          <w:tcPr>
            <w:tcW w:w="1605" w:type="dxa"/>
            <w:vAlign w:val="center"/>
          </w:tcPr>
          <w:p w14:paraId="27348DE5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4B26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restart"/>
            <w:vAlign w:val="center"/>
          </w:tcPr>
          <w:p w14:paraId="4734C5D3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资料完整性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（15分）</w:t>
            </w:r>
          </w:p>
        </w:tc>
        <w:tc>
          <w:tcPr>
            <w:tcW w:w="1833" w:type="dxa"/>
            <w:vAlign w:val="center"/>
          </w:tcPr>
          <w:p w14:paraId="09751243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default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施工图纸及变更图纸</w:t>
            </w:r>
          </w:p>
        </w:tc>
        <w:tc>
          <w:tcPr>
            <w:tcW w:w="1961" w:type="dxa"/>
            <w:vAlign w:val="center"/>
          </w:tcPr>
          <w:p w14:paraId="01793F10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提交完整施工图及变更图纸</w:t>
            </w:r>
          </w:p>
          <w:p w14:paraId="68013C01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（10分）</w:t>
            </w:r>
          </w:p>
        </w:tc>
        <w:tc>
          <w:tcPr>
            <w:tcW w:w="1715" w:type="dxa"/>
            <w:vAlign w:val="center"/>
          </w:tcPr>
          <w:p w14:paraId="7C74A477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每缺失一项扣2分</w:t>
            </w:r>
          </w:p>
        </w:tc>
        <w:tc>
          <w:tcPr>
            <w:tcW w:w="1139" w:type="dxa"/>
            <w:vAlign w:val="center"/>
          </w:tcPr>
          <w:p w14:paraId="5F55C747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10%</w:t>
            </w:r>
          </w:p>
        </w:tc>
        <w:tc>
          <w:tcPr>
            <w:tcW w:w="1605" w:type="dxa"/>
            <w:vAlign w:val="center"/>
          </w:tcPr>
          <w:p w14:paraId="22E0FE5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</w:p>
        </w:tc>
      </w:tr>
      <w:tr w14:paraId="2329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307" w:type="dxa"/>
            <w:vMerge w:val="continue"/>
            <w:vAlign w:val="center"/>
          </w:tcPr>
          <w:p w14:paraId="536C2186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14:paraId="09AB465D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6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竣工图纸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18E7D5B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审核竣工图纸</w:t>
            </w:r>
          </w:p>
          <w:p w14:paraId="2823C40D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6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（5分）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0174481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6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每缺失一项扣5分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E9CFF2">
            <w:pPr>
              <w:keepNext w:val="0"/>
              <w:keepLines w:val="0"/>
              <w:widowControl/>
              <w:suppressLineNumbers w:val="0"/>
              <w:spacing w:line="21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6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5%</w:t>
            </w:r>
          </w:p>
        </w:tc>
        <w:tc>
          <w:tcPr>
            <w:tcW w:w="1605" w:type="dxa"/>
            <w:vAlign w:val="center"/>
          </w:tcPr>
          <w:p w14:paraId="57F2CD5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</w:p>
        </w:tc>
      </w:tr>
      <w:tr w14:paraId="0A15B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55" w:type="dxa"/>
            <w:gridSpan w:val="5"/>
            <w:vAlign w:val="center"/>
          </w:tcPr>
          <w:p w14:paraId="054F34A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1605" w:type="dxa"/>
            <w:vAlign w:val="center"/>
          </w:tcPr>
          <w:p w14:paraId="17CFA0F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6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C90D2FE">
      <w:pPr>
        <w:rPr>
          <w:rFonts w:hint="default" w:ascii="新宋体" w:hAnsi="新宋体" w:eastAsia="新宋体" w:cs="Arial"/>
          <w:highlight w:val="none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type w:val="continuous"/>
      <w:pgSz w:w="11906" w:h="16838"/>
      <w:pgMar w:top="1440" w:right="1133" w:bottom="1440" w:left="1418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stem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1D65D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5325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35325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130C1EC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3A74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1B2D1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1B2D1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89179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D0217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pStyle w:val="14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kM2U5NjNhMjY1Yzk3NGY4ZmExNDRiN2Q2Y2M4NjYifQ=="/>
  </w:docVars>
  <w:rsids>
    <w:rsidRoot w:val="00000000"/>
    <w:rsid w:val="000B6281"/>
    <w:rsid w:val="00E32D5A"/>
    <w:rsid w:val="02685C0C"/>
    <w:rsid w:val="035C6A12"/>
    <w:rsid w:val="038C592B"/>
    <w:rsid w:val="04177352"/>
    <w:rsid w:val="042162FD"/>
    <w:rsid w:val="04640655"/>
    <w:rsid w:val="049E696B"/>
    <w:rsid w:val="056F72B2"/>
    <w:rsid w:val="05915B61"/>
    <w:rsid w:val="06147E59"/>
    <w:rsid w:val="061C47BF"/>
    <w:rsid w:val="06501EB7"/>
    <w:rsid w:val="06691F53"/>
    <w:rsid w:val="06FF3B30"/>
    <w:rsid w:val="084C38DA"/>
    <w:rsid w:val="08A2174C"/>
    <w:rsid w:val="08B17BE1"/>
    <w:rsid w:val="09E65669"/>
    <w:rsid w:val="0A896C03"/>
    <w:rsid w:val="0A8B7F8A"/>
    <w:rsid w:val="0AA95014"/>
    <w:rsid w:val="0AC44020"/>
    <w:rsid w:val="0B352404"/>
    <w:rsid w:val="0BF83BD6"/>
    <w:rsid w:val="0C210BDA"/>
    <w:rsid w:val="0C4D7C21"/>
    <w:rsid w:val="0C4F5747"/>
    <w:rsid w:val="0C590374"/>
    <w:rsid w:val="0C5D47A6"/>
    <w:rsid w:val="0C7F673E"/>
    <w:rsid w:val="0C9B7B18"/>
    <w:rsid w:val="0CBB4B8B"/>
    <w:rsid w:val="0DDD50FE"/>
    <w:rsid w:val="0E35096D"/>
    <w:rsid w:val="0F5512C6"/>
    <w:rsid w:val="0F9242C9"/>
    <w:rsid w:val="0FC73BC6"/>
    <w:rsid w:val="1017657C"/>
    <w:rsid w:val="103D2640"/>
    <w:rsid w:val="10437371"/>
    <w:rsid w:val="107C0739"/>
    <w:rsid w:val="1081433D"/>
    <w:rsid w:val="10A832F4"/>
    <w:rsid w:val="113C13B4"/>
    <w:rsid w:val="119B31DD"/>
    <w:rsid w:val="11B3085E"/>
    <w:rsid w:val="11C60BD1"/>
    <w:rsid w:val="12293277"/>
    <w:rsid w:val="122A4C8C"/>
    <w:rsid w:val="128B1CD8"/>
    <w:rsid w:val="137900CB"/>
    <w:rsid w:val="13BF1404"/>
    <w:rsid w:val="14553206"/>
    <w:rsid w:val="14B255B0"/>
    <w:rsid w:val="14E05AD6"/>
    <w:rsid w:val="14EC447B"/>
    <w:rsid w:val="15082937"/>
    <w:rsid w:val="150E450F"/>
    <w:rsid w:val="16B26FFE"/>
    <w:rsid w:val="174F6F43"/>
    <w:rsid w:val="17650515"/>
    <w:rsid w:val="17903B89"/>
    <w:rsid w:val="18B72BE6"/>
    <w:rsid w:val="195F24B9"/>
    <w:rsid w:val="19E85EDA"/>
    <w:rsid w:val="1B84582A"/>
    <w:rsid w:val="1BBE4697"/>
    <w:rsid w:val="1C485D0F"/>
    <w:rsid w:val="1CA05134"/>
    <w:rsid w:val="1CA7512B"/>
    <w:rsid w:val="1D32378B"/>
    <w:rsid w:val="1E430E84"/>
    <w:rsid w:val="1E8F274F"/>
    <w:rsid w:val="1EDF0BAD"/>
    <w:rsid w:val="1EE461C3"/>
    <w:rsid w:val="21020B82"/>
    <w:rsid w:val="215A6B3F"/>
    <w:rsid w:val="21D73DBD"/>
    <w:rsid w:val="21E014CE"/>
    <w:rsid w:val="21F04E7F"/>
    <w:rsid w:val="2228094B"/>
    <w:rsid w:val="24BE1264"/>
    <w:rsid w:val="25237319"/>
    <w:rsid w:val="25506360"/>
    <w:rsid w:val="256911D0"/>
    <w:rsid w:val="25830902"/>
    <w:rsid w:val="25A477D9"/>
    <w:rsid w:val="2652435A"/>
    <w:rsid w:val="26CC7C68"/>
    <w:rsid w:val="26EB64A8"/>
    <w:rsid w:val="272D6A0E"/>
    <w:rsid w:val="27B34984"/>
    <w:rsid w:val="27CE4FB1"/>
    <w:rsid w:val="281B4DE9"/>
    <w:rsid w:val="28AF43BB"/>
    <w:rsid w:val="29171044"/>
    <w:rsid w:val="293619B2"/>
    <w:rsid w:val="295B1778"/>
    <w:rsid w:val="29B669AE"/>
    <w:rsid w:val="29C966E1"/>
    <w:rsid w:val="29CF181E"/>
    <w:rsid w:val="29E04F34"/>
    <w:rsid w:val="2A120FA1"/>
    <w:rsid w:val="2ABC4498"/>
    <w:rsid w:val="2B4843B6"/>
    <w:rsid w:val="2BA10510"/>
    <w:rsid w:val="2BA70CA4"/>
    <w:rsid w:val="2D202ABC"/>
    <w:rsid w:val="2E1168A9"/>
    <w:rsid w:val="2E864DCE"/>
    <w:rsid w:val="2EB17D7E"/>
    <w:rsid w:val="2F012662"/>
    <w:rsid w:val="2FBD0A96"/>
    <w:rsid w:val="314B7480"/>
    <w:rsid w:val="327C5DB9"/>
    <w:rsid w:val="330C5088"/>
    <w:rsid w:val="339C6C14"/>
    <w:rsid w:val="33EC7B9C"/>
    <w:rsid w:val="347F27BE"/>
    <w:rsid w:val="35134CB4"/>
    <w:rsid w:val="3591319D"/>
    <w:rsid w:val="35BA15D4"/>
    <w:rsid w:val="36FB1D8D"/>
    <w:rsid w:val="379C5435"/>
    <w:rsid w:val="380A05F1"/>
    <w:rsid w:val="386D6DD1"/>
    <w:rsid w:val="38956011"/>
    <w:rsid w:val="38F6728A"/>
    <w:rsid w:val="39243934"/>
    <w:rsid w:val="39EF28AE"/>
    <w:rsid w:val="3A2170D3"/>
    <w:rsid w:val="3A512FED"/>
    <w:rsid w:val="3B7D37CF"/>
    <w:rsid w:val="3BBC2021"/>
    <w:rsid w:val="3C432323"/>
    <w:rsid w:val="3C8A1762"/>
    <w:rsid w:val="3C9C5ED7"/>
    <w:rsid w:val="3CFD3F5B"/>
    <w:rsid w:val="3D9425AC"/>
    <w:rsid w:val="3DA54918"/>
    <w:rsid w:val="3DCB0822"/>
    <w:rsid w:val="3ECA1302"/>
    <w:rsid w:val="3F7942AE"/>
    <w:rsid w:val="40B4375D"/>
    <w:rsid w:val="41160006"/>
    <w:rsid w:val="413B691B"/>
    <w:rsid w:val="414378E4"/>
    <w:rsid w:val="416A5C55"/>
    <w:rsid w:val="421A3B26"/>
    <w:rsid w:val="421B2211"/>
    <w:rsid w:val="42293D69"/>
    <w:rsid w:val="4246491B"/>
    <w:rsid w:val="430503CB"/>
    <w:rsid w:val="434E29D0"/>
    <w:rsid w:val="43E84F07"/>
    <w:rsid w:val="4436451B"/>
    <w:rsid w:val="445D7CFA"/>
    <w:rsid w:val="4520206A"/>
    <w:rsid w:val="462C5BD6"/>
    <w:rsid w:val="46787C4F"/>
    <w:rsid w:val="475E6263"/>
    <w:rsid w:val="47A67C0A"/>
    <w:rsid w:val="48286871"/>
    <w:rsid w:val="4940420A"/>
    <w:rsid w:val="494C7070"/>
    <w:rsid w:val="49584F34"/>
    <w:rsid w:val="499D3D71"/>
    <w:rsid w:val="4A443E36"/>
    <w:rsid w:val="4ACF7478"/>
    <w:rsid w:val="4B850E6E"/>
    <w:rsid w:val="4BE13907"/>
    <w:rsid w:val="4C2A705C"/>
    <w:rsid w:val="4CAE71AE"/>
    <w:rsid w:val="4CD844CE"/>
    <w:rsid w:val="4D4F005B"/>
    <w:rsid w:val="4DDA7481"/>
    <w:rsid w:val="4DE772F8"/>
    <w:rsid w:val="4E1753BE"/>
    <w:rsid w:val="4E9A23DB"/>
    <w:rsid w:val="4FDE6A82"/>
    <w:rsid w:val="4FEE5DDD"/>
    <w:rsid w:val="50065FB1"/>
    <w:rsid w:val="50903C62"/>
    <w:rsid w:val="50AA076B"/>
    <w:rsid w:val="514209A3"/>
    <w:rsid w:val="51477D68"/>
    <w:rsid w:val="51B11269"/>
    <w:rsid w:val="51C40EFF"/>
    <w:rsid w:val="52377DDC"/>
    <w:rsid w:val="52A77A34"/>
    <w:rsid w:val="52E84A0F"/>
    <w:rsid w:val="531243A6"/>
    <w:rsid w:val="547215A0"/>
    <w:rsid w:val="58C4371A"/>
    <w:rsid w:val="58F845EC"/>
    <w:rsid w:val="59255664"/>
    <w:rsid w:val="599124C8"/>
    <w:rsid w:val="59B82E7F"/>
    <w:rsid w:val="5A013892"/>
    <w:rsid w:val="5A4412E8"/>
    <w:rsid w:val="5A586636"/>
    <w:rsid w:val="5AED7BD2"/>
    <w:rsid w:val="5C9347A9"/>
    <w:rsid w:val="5C983B6D"/>
    <w:rsid w:val="5E18232E"/>
    <w:rsid w:val="5E2D4DEB"/>
    <w:rsid w:val="5E9B589D"/>
    <w:rsid w:val="5FE86BBA"/>
    <w:rsid w:val="602F1A1E"/>
    <w:rsid w:val="604F6993"/>
    <w:rsid w:val="60791F08"/>
    <w:rsid w:val="60D04CA4"/>
    <w:rsid w:val="6104584B"/>
    <w:rsid w:val="61204131"/>
    <w:rsid w:val="612C0D28"/>
    <w:rsid w:val="61532759"/>
    <w:rsid w:val="6200643D"/>
    <w:rsid w:val="62FC3B3D"/>
    <w:rsid w:val="64504D2E"/>
    <w:rsid w:val="64A82DBC"/>
    <w:rsid w:val="651363E4"/>
    <w:rsid w:val="6543036F"/>
    <w:rsid w:val="65A1330E"/>
    <w:rsid w:val="66EC51E2"/>
    <w:rsid w:val="67C95523"/>
    <w:rsid w:val="6854109A"/>
    <w:rsid w:val="698E2580"/>
    <w:rsid w:val="6B9B0F84"/>
    <w:rsid w:val="6BAC3191"/>
    <w:rsid w:val="6BB07D0E"/>
    <w:rsid w:val="6BDC307A"/>
    <w:rsid w:val="6CDD70C0"/>
    <w:rsid w:val="6DA80A5F"/>
    <w:rsid w:val="6DCA3DA3"/>
    <w:rsid w:val="6E544226"/>
    <w:rsid w:val="6F0035D5"/>
    <w:rsid w:val="6F3516F0"/>
    <w:rsid w:val="6F3C65DA"/>
    <w:rsid w:val="6F7326C3"/>
    <w:rsid w:val="6F7723CE"/>
    <w:rsid w:val="6FBB7E47"/>
    <w:rsid w:val="70252048"/>
    <w:rsid w:val="70B825D8"/>
    <w:rsid w:val="71905556"/>
    <w:rsid w:val="71A36DE5"/>
    <w:rsid w:val="71B8430A"/>
    <w:rsid w:val="72531BAF"/>
    <w:rsid w:val="72C2329A"/>
    <w:rsid w:val="72E871A5"/>
    <w:rsid w:val="7315161C"/>
    <w:rsid w:val="73335F46"/>
    <w:rsid w:val="73463ECB"/>
    <w:rsid w:val="73BE6F84"/>
    <w:rsid w:val="73D834C2"/>
    <w:rsid w:val="748051BB"/>
    <w:rsid w:val="749649DF"/>
    <w:rsid w:val="75050F2A"/>
    <w:rsid w:val="75D5396A"/>
    <w:rsid w:val="75E023B5"/>
    <w:rsid w:val="75E759A7"/>
    <w:rsid w:val="75EF084A"/>
    <w:rsid w:val="767D7C04"/>
    <w:rsid w:val="76BE2727"/>
    <w:rsid w:val="76D33CC8"/>
    <w:rsid w:val="77230867"/>
    <w:rsid w:val="77701886"/>
    <w:rsid w:val="782347DB"/>
    <w:rsid w:val="78484242"/>
    <w:rsid w:val="792C3B64"/>
    <w:rsid w:val="79E61F64"/>
    <w:rsid w:val="7B191EC6"/>
    <w:rsid w:val="7B6408D0"/>
    <w:rsid w:val="7B907A76"/>
    <w:rsid w:val="7BB67714"/>
    <w:rsid w:val="7C122B9D"/>
    <w:rsid w:val="7D513B99"/>
    <w:rsid w:val="7D7E4262"/>
    <w:rsid w:val="7DA71A0B"/>
    <w:rsid w:val="7DB61C4E"/>
    <w:rsid w:val="7DFF340E"/>
    <w:rsid w:val="7E2D63B4"/>
    <w:rsid w:val="7F4D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tabs>
        <w:tab w:val="left" w:pos="6840"/>
      </w:tabs>
      <w:autoSpaceDE w:val="0"/>
      <w:autoSpaceDN w:val="0"/>
      <w:adjustRightInd w:val="0"/>
      <w:spacing w:before="100" w:after="100" w:line="240" w:lineRule="atLeast"/>
      <w:jc w:val="left"/>
      <w:textAlignment w:val="baseline"/>
      <w:outlineLvl w:val="0"/>
    </w:pPr>
    <w:rPr>
      <w:rFonts w:ascii="Arial" w:hAnsi="Arial" w:eastAsia="System" w:cs="Times New Roman"/>
      <w:b/>
      <w:kern w:val="0"/>
      <w:sz w:val="44"/>
      <w:szCs w:val="20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Balloon Text"/>
    <w:basedOn w:val="1"/>
    <w:link w:val="15"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annotation reference"/>
    <w:basedOn w:val="9"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numPr>
        <w:ilvl w:val="0"/>
        <w:numId w:val="1"/>
      </w:numPr>
      <w:autoSpaceDE w:val="0"/>
      <w:autoSpaceDN w:val="0"/>
      <w:adjustRightInd w:val="0"/>
      <w:spacing w:line="360" w:lineRule="auto"/>
      <w:ind w:left="0" w:firstLine="0"/>
      <w:jc w:val="left"/>
    </w:pPr>
  </w:style>
  <w:style w:type="character" w:customStyle="1" w:styleId="15">
    <w:name w:val="批注框文本 字符"/>
    <w:basedOn w:val="9"/>
    <w:link w:val="4"/>
    <w:qFormat/>
    <w:uiPriority w:val="99"/>
    <w:rPr>
      <w:kern w:val="2"/>
      <w:sz w:val="18"/>
      <w:szCs w:val="18"/>
    </w:rPr>
  </w:style>
  <w:style w:type="character" w:customStyle="1" w:styleId="16">
    <w:name w:val="标题 1 字符"/>
    <w:basedOn w:val="9"/>
    <w:link w:val="2"/>
    <w:qFormat/>
    <w:uiPriority w:val="0"/>
    <w:rPr>
      <w:rFonts w:ascii="Arial" w:hAnsi="Arial" w:eastAsia="System" w:cs="Times New Roman"/>
      <w:b/>
      <w:sz w:val="44"/>
    </w:rPr>
  </w:style>
  <w:style w:type="paragraph" w:customStyle="1" w:styleId="17">
    <w:name w:val="Revision"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2869</Words>
  <Characters>3038</Characters>
  <Paragraphs>107</Paragraphs>
  <TotalTime>0</TotalTime>
  <ScaleCrop>false</ScaleCrop>
  <LinksUpToDate>false</LinksUpToDate>
  <CharactersWithSpaces>3332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2024-04-23T01:44:00Z</dcterms:created>
  <dc:creator>容文丹</dc:creator>
  <cp:lastModifiedBy>基建科</cp:lastModifiedBy>
  <dcterms:modified xsi:type="dcterms:W3CDTF">2025-06-20T03:56:41Z</dcterms:modified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70e23b888dd546e99a5c9df63808d238_23</vt:lpwstr>
  </property>
  <property fmtid="{D5CDD505-2E9C-101B-9397-08002B2CF9AE}" pid="4" name="KSOTemplateDocerSaveRecord">
    <vt:lpwstr>eyJoZGlkIjoiYzJlZjcxNjMzNzE4Zjg2YjdlNjU1YmVlODM0ODMyNzMiLCJ1c2VySWQiOiIyOTgwNjgxMTIifQ==</vt:lpwstr>
  </property>
</Properties>
</file>